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before="0" w:after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  <w:t>Monodactyl Equids from Guomde</w:t>
      </w:r>
    </w:p>
    <w:p>
      <w:pPr>
        <w:pStyle w:val="TextBody"/>
        <w:widowControl/>
        <w:bidi w:val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mercredi 19 juillet 2017</w:t>
      </w:r>
    </w:p>
    <w:p>
      <w:pPr>
        <w:pStyle w:val="TextBody"/>
        <w:widowControl/>
        <w:bidi w:val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KNM ER 2658 are associated one upper premolar and two lower premolars (Fig. 56). The enamel is very plicated like in the Sussemione-like teeth of Figure 54. The protocone is long and indented, like in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A. koobiforensis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(Fig. 4).</w:t>
        <w:br/>
        <w:t>Fig. 56</w:t>
      </w:r>
    </w:p>
    <w:p>
      <w:pPr>
        <w:pStyle w:val="TextBody"/>
        <w:widowControl/>
        <w:bidi w:val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Surprisingly enough, from the Guomde Formation, Area 105-109, a lower P2-M1 series (P4 and M1 were sectioned, Fig. 58) has the same pattern as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A. koobiforensis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(Fig. 6).</w:t>
        <w:br/>
        <w:t>Fig. 57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altName w:val="Lucida Grande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LibreOffice/7.4.3.2$Windows_X86_64 LibreOffice_project/1048a8393ae2eeec98dff31b5c133c5f1d08b890</Application>
  <AppVersion>15.0000</AppVersion>
  <Pages>1</Pages>
  <Words>79</Words>
  <Characters>390</Characters>
  <CharactersWithSpaces>465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2024-07-25T10:44:47Z</dcterms:created>
  <dc:creator/>
  <dc:description/>
  <dc:language>en-US</dc:language>
  <cp:lastModifiedBy/>
  <dcterms:modified xsi:type="dcterms:W3CDTF">2024-07-25T10:47:21Z</dcterms:modified>
  <cp:revision>6</cp:revision>
  <dc:subject/>
  <dc:title/>
</cp:coreProperties>
</file>